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FF5" w:rsidRDefault="00E20FF5" w:rsidP="0081615F">
      <w:pPr>
        <w:pStyle w:val="NoSpacing"/>
        <w:ind w:left="0" w:firstLine="0"/>
        <w:rPr>
          <w:lang w:val="ka-GE"/>
        </w:rPr>
      </w:pPr>
      <w:r>
        <w:rPr>
          <w:lang w:val="ka-GE"/>
        </w:rPr>
        <w:t xml:space="preserve">                      </w:t>
      </w:r>
    </w:p>
    <w:p w:rsidR="00E20FF5" w:rsidRDefault="00E20FF5" w:rsidP="00E20FF5">
      <w:pPr>
        <w:pStyle w:val="NoSpacing"/>
        <w:rPr>
          <w:lang w:val="ka-GE"/>
        </w:rPr>
      </w:pPr>
      <w:r>
        <w:rPr>
          <w:lang w:val="ka-GE"/>
        </w:rPr>
        <w:t xml:space="preserve">             </w:t>
      </w:r>
      <w:r w:rsidR="00226628">
        <w:t xml:space="preserve">    </w:t>
      </w:r>
      <w:bookmarkStart w:id="0" w:name="_GoBack"/>
      <w:bookmarkEnd w:id="0"/>
      <w:r>
        <w:rPr>
          <w:lang w:val="ka-GE"/>
        </w:rPr>
        <w:t xml:space="preserve">    </w:t>
      </w:r>
      <w:r w:rsidR="000E78B6">
        <w:rPr>
          <w:b/>
        </w:rPr>
        <w:t xml:space="preserve">ნურულინ დუო 500მგ/200მგ </w:t>
      </w:r>
      <w:r w:rsidR="0081615F">
        <w:rPr>
          <w:b/>
        </w:rPr>
        <w:t>ტაბლეტი</w:t>
      </w:r>
    </w:p>
    <w:p w:rsidR="00F17B23" w:rsidRPr="0081615F" w:rsidRDefault="00E20FF5" w:rsidP="00AB11A2">
      <w:pPr>
        <w:pStyle w:val="NoSpacing"/>
        <w:rPr>
          <w:u w:val="single"/>
          <w:lang w:val="ka-GE"/>
        </w:rPr>
      </w:pPr>
      <w:r>
        <w:rPr>
          <w:lang w:val="ka-GE"/>
        </w:rPr>
        <w:t xml:space="preserve">                              </w:t>
      </w:r>
      <w:r w:rsidR="000E78B6" w:rsidRPr="00AB11A2">
        <w:rPr>
          <w:u w:val="single"/>
        </w:rPr>
        <w:t>პარაცეტამოლი/</w:t>
      </w:r>
      <w:r w:rsidR="0081615F">
        <w:rPr>
          <w:u w:val="single"/>
        </w:rPr>
        <w:t>იბუპროფენ</w:t>
      </w:r>
      <w:r w:rsidR="0081615F">
        <w:rPr>
          <w:u w:val="single"/>
          <w:lang w:val="ka-GE"/>
        </w:rPr>
        <w:t>ი</w:t>
      </w:r>
    </w:p>
    <w:p w:rsidR="00AB11A2" w:rsidRPr="0081615F" w:rsidRDefault="00AB11A2" w:rsidP="00AB11A2">
      <w:pPr>
        <w:pStyle w:val="NoSpacing"/>
        <w:rPr>
          <w:sz w:val="22"/>
        </w:rPr>
      </w:pP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 xml:space="preserve"> ნურულინ დუო</w:t>
      </w:r>
      <w:r w:rsidRPr="0081615F">
        <w:rPr>
          <w:sz w:val="22"/>
        </w:rPr>
        <w:t xml:space="preserve"> შეიცავს ორ აქტიურ ინგრედიენტს: პარაცეტამოლი 500 მგ და იბუპროფენი 200მგ. პარაცეტამოლი არის ანალგეზიური საშუალება</w:t>
      </w:r>
      <w:r w:rsidR="00E20FF5" w:rsidRPr="0081615F">
        <w:rPr>
          <w:sz w:val="22"/>
        </w:rPr>
        <w:t xml:space="preserve">, </w:t>
      </w:r>
      <w:r w:rsidRPr="0081615F">
        <w:rPr>
          <w:sz w:val="22"/>
        </w:rPr>
        <w:t>რომელიც ამცირებს ტკივილს და ცხელებას. იბუპროფენი მიეკუთვნება აასპ ჯგუფის</w:t>
      </w:r>
      <w:r w:rsidR="00E20FF5" w:rsidRPr="0081615F">
        <w:rPr>
          <w:sz w:val="22"/>
          <w:lang w:val="ka-GE"/>
        </w:rPr>
        <w:t xml:space="preserve"> </w:t>
      </w:r>
      <w:r w:rsidRPr="0081615F">
        <w:rPr>
          <w:sz w:val="22"/>
        </w:rPr>
        <w:t>მედიკამენტებს, რომელიც ასევე ამცირებს ტკივილს და ცხელებას.</w:t>
      </w:r>
    </w:p>
    <w:p w:rsidR="00F17B23" w:rsidRPr="00226628" w:rsidRDefault="000E78B6" w:rsidP="00226628">
      <w:pPr>
        <w:pStyle w:val="NoSpacing"/>
        <w:rPr>
          <w:sz w:val="22"/>
        </w:rPr>
      </w:pPr>
      <w:r w:rsidRPr="0081615F">
        <w:rPr>
          <w:sz w:val="22"/>
        </w:rPr>
        <w:t xml:space="preserve">პარაცეტამოლი 500 მგ და იბუპროფენი 200მგ-ს კომბინაცია (ნურულინ დუოს ტაბლეტები) </w:t>
      </w:r>
      <w:r w:rsidRPr="00226628">
        <w:rPr>
          <w:b/>
          <w:i/>
          <w:sz w:val="22"/>
          <w:u w:val="single"/>
        </w:rPr>
        <w:t>გამოიყენება</w:t>
      </w:r>
      <w:r w:rsidRPr="00226628">
        <w:rPr>
          <w:i/>
          <w:sz w:val="22"/>
          <w:u w:val="single"/>
        </w:rPr>
        <w:t xml:space="preserve"> საშუალო და ზომიერად ძლიერი ტკივილის სიმპტომების შესამსუბუქებლად, როგორიც არის შაკიკი,  თავის ტკივილი, მენტრუალური ტკივილი,  კბილის და კუნთების ტკივილი, ართრიტთან დაკავშირებული ტკივილი,</w:t>
      </w:r>
      <w:r w:rsidR="00226628" w:rsidRPr="00226628">
        <w:rPr>
          <w:i/>
          <w:sz w:val="22"/>
          <w:u w:val="single"/>
        </w:rPr>
        <w:t xml:space="preserve"> </w:t>
      </w:r>
      <w:r w:rsidRPr="00226628">
        <w:rPr>
          <w:i/>
          <w:sz w:val="22"/>
          <w:u w:val="single"/>
        </w:rPr>
        <w:t>ასევე გაციების და გრიპის სიმპტომები</w:t>
      </w:r>
      <w:r w:rsidR="00E20FF5" w:rsidRPr="00226628">
        <w:rPr>
          <w:i/>
          <w:sz w:val="22"/>
          <w:u w:val="single"/>
          <w:lang w:val="ka-GE"/>
        </w:rPr>
        <w:t>.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 xml:space="preserve">ბავშვები და მოზრდილები </w:t>
      </w:r>
      <w:r w:rsidRPr="0081615F">
        <w:rPr>
          <w:sz w:val="22"/>
        </w:rPr>
        <w:t>ეს პროდუქტი არ არის რეკომენდებული</w:t>
      </w:r>
      <w:r w:rsidR="00226628">
        <w:rPr>
          <w:sz w:val="22"/>
        </w:rPr>
        <w:t xml:space="preserve"> 16</w:t>
      </w:r>
      <w:r w:rsidRPr="0081615F">
        <w:rPr>
          <w:sz w:val="22"/>
        </w:rPr>
        <w:t xml:space="preserve"> წლამდე ასაკის ბავშვებისთვის.</w:t>
      </w:r>
    </w:p>
    <w:p w:rsidR="00E20FF5" w:rsidRPr="0081615F" w:rsidRDefault="00AB11A2" w:rsidP="00AB11A2">
      <w:pPr>
        <w:pStyle w:val="NoSpacing"/>
        <w:rPr>
          <w:sz w:val="22"/>
        </w:rPr>
      </w:pPr>
      <w:r w:rsidRPr="0081615F">
        <w:rPr>
          <w:b/>
          <w:sz w:val="22"/>
          <w:lang w:val="ka-GE"/>
        </w:rPr>
        <w:t>ორ</w:t>
      </w:r>
      <w:r w:rsidR="000E78B6" w:rsidRPr="0081615F">
        <w:rPr>
          <w:b/>
          <w:sz w:val="22"/>
        </w:rPr>
        <w:t xml:space="preserve">სულობა, ძუძუთი კვება და ფერტილობა </w:t>
      </w:r>
      <w:r w:rsidR="00E20FF5" w:rsidRPr="0081615F">
        <w:rPr>
          <w:sz w:val="22"/>
        </w:rPr>
        <w:t>არ მიიღოთ ეს პრეპარატი ორსულობის ბოლო 3 თვის პერიოდში.  გამოიჩინეთ განსაკუთრებული ყურადღება თუ ხართ ორსულობის მე-6-ე თვეში.</w:t>
      </w:r>
    </w:p>
    <w:p w:rsidR="00AA4AC6" w:rsidRPr="0081615F" w:rsidRDefault="00AA4AC6" w:rsidP="00AB11A2">
      <w:pPr>
        <w:pStyle w:val="NoSpacing"/>
        <w:rPr>
          <w:b/>
          <w:sz w:val="22"/>
          <w:lang w:val="ka-GE"/>
        </w:rPr>
      </w:pPr>
      <w:r w:rsidRPr="0081615F">
        <w:rPr>
          <w:b/>
          <w:sz w:val="22"/>
          <w:lang w:val="ka-GE"/>
        </w:rPr>
        <w:t xml:space="preserve">დოზირება და მიღების წესი 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 xml:space="preserve"> ნურულინ დუო </w:t>
      </w:r>
    </w:p>
    <w:p w:rsidR="00F17B23" w:rsidRPr="0081615F" w:rsidRDefault="000E78B6" w:rsidP="00226628">
      <w:pPr>
        <w:pStyle w:val="NoSpacing"/>
        <w:rPr>
          <w:sz w:val="22"/>
        </w:rPr>
      </w:pPr>
      <w:r w:rsidRPr="0081615F">
        <w:rPr>
          <w:sz w:val="22"/>
        </w:rPr>
        <w:t>მოზრდილებში</w:t>
      </w:r>
      <w:r w:rsidR="00226628">
        <w:rPr>
          <w:sz w:val="22"/>
        </w:rPr>
        <w:t xml:space="preserve"> </w:t>
      </w:r>
      <w:r w:rsidRPr="0081615F">
        <w:rPr>
          <w:sz w:val="22"/>
        </w:rPr>
        <w:t xml:space="preserve">, რეკომენდებული დოზა არის 1 ტაბლეტი საკვებთან და წყალთან ერთად, სამჯერ დღეში. </w:t>
      </w:r>
      <w:r w:rsidR="00AA4AC6" w:rsidRPr="0081615F">
        <w:rPr>
          <w:sz w:val="22"/>
          <w:lang w:val="ka-GE"/>
        </w:rPr>
        <w:t xml:space="preserve">მაქსიმალური სადღე- </w:t>
      </w:r>
      <w:r w:rsidRPr="0081615F">
        <w:rPr>
          <w:sz w:val="22"/>
        </w:rPr>
        <w:t xml:space="preserve">ღამისო </w:t>
      </w:r>
      <w:r w:rsidR="00AA4AC6" w:rsidRPr="0081615F">
        <w:rPr>
          <w:sz w:val="22"/>
        </w:rPr>
        <w:t>დოზა</w:t>
      </w:r>
      <w:r w:rsidR="00AA4AC6" w:rsidRPr="0081615F">
        <w:rPr>
          <w:sz w:val="22"/>
          <w:lang w:val="ka-GE"/>
        </w:rPr>
        <w:t xml:space="preserve"> </w:t>
      </w:r>
      <w:r w:rsidRPr="0081615F">
        <w:rPr>
          <w:sz w:val="22"/>
        </w:rPr>
        <w:t>- 6 ტაბლეტი, რაც 3000მგ პარაცეტამოლის და 1200მგ იბუპროფენის ექვივალენტურია.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 xml:space="preserve">გამოყენება ბავშვებში და მოზარდებში </w:t>
      </w:r>
      <w:r w:rsidRPr="0081615F">
        <w:rPr>
          <w:sz w:val="22"/>
        </w:rPr>
        <w:t>ნურულინ დუოს ტაბლეტები არ გამოიყენება</w:t>
      </w:r>
      <w:r w:rsidR="00226628">
        <w:rPr>
          <w:sz w:val="22"/>
        </w:rPr>
        <w:t xml:space="preserve">  16</w:t>
      </w:r>
      <w:r w:rsidRPr="0081615F">
        <w:rPr>
          <w:sz w:val="22"/>
        </w:rPr>
        <w:t xml:space="preserve"> </w:t>
      </w:r>
      <w:r w:rsidR="00AB11A2" w:rsidRPr="0081615F">
        <w:rPr>
          <w:sz w:val="22"/>
        </w:rPr>
        <w:t>წლის ასაკამდე</w:t>
      </w:r>
      <w:r w:rsidRPr="0081615F">
        <w:rPr>
          <w:sz w:val="22"/>
        </w:rPr>
        <w:t xml:space="preserve">. </w:t>
      </w:r>
    </w:p>
    <w:p w:rsidR="00F17B23" w:rsidRPr="0081615F" w:rsidRDefault="0081615F" w:rsidP="0081615F">
      <w:pPr>
        <w:pStyle w:val="NoSpacing"/>
        <w:ind w:left="0" w:firstLine="0"/>
        <w:rPr>
          <w:sz w:val="22"/>
        </w:rPr>
      </w:pPr>
      <w:r>
        <w:rPr>
          <w:sz w:val="22"/>
        </w:rPr>
        <w:t xml:space="preserve">        </w:t>
      </w:r>
      <w:r w:rsidR="000E78B6" w:rsidRPr="0081615F">
        <w:rPr>
          <w:b/>
          <w:sz w:val="22"/>
        </w:rPr>
        <w:t>4. შესაძლო გვერდითი მოვლენები</w:t>
      </w:r>
      <w:r w:rsidR="000E78B6" w:rsidRPr="0081615F">
        <w:rPr>
          <w:sz w:val="22"/>
        </w:rPr>
        <w:t>: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>მსგავსად ყველა მედიკამენტისა ამ მედიკამენტმაც შეიძლება გამოიწვიოს გვერდითი მოვლენები,</w:t>
      </w:r>
      <w:r w:rsidRPr="0081615F">
        <w:rPr>
          <w:b/>
          <w:sz w:val="22"/>
        </w:rPr>
        <w:t xml:space="preserve">თუ გამოვლინდა რომელიმე სერიოზული გვერდითი რეაქცია, შეწყვიტეთ ნურულინ დუოს მიღება და დაუყოვნებლივ აცნობეთ ექიმს </w:t>
      </w:r>
    </w:p>
    <w:p w:rsidR="00F17B23" w:rsidRPr="0081615F" w:rsidRDefault="00AB11A2" w:rsidP="00AB11A2">
      <w:pPr>
        <w:pStyle w:val="NoSpacing"/>
        <w:rPr>
          <w:sz w:val="22"/>
        </w:rPr>
      </w:pPr>
      <w:r w:rsidRPr="0081615F">
        <w:rPr>
          <w:b/>
          <w:sz w:val="22"/>
        </w:rPr>
        <w:t>შენახვის პირობები :</w:t>
      </w:r>
      <w:r w:rsidR="000E78B6" w:rsidRPr="0081615F">
        <w:rPr>
          <w:b/>
          <w:sz w:val="22"/>
        </w:rPr>
        <w:t xml:space="preserve"> </w:t>
      </w:r>
      <w:r w:rsidR="000E78B6" w:rsidRPr="0081615F">
        <w:rPr>
          <w:sz w:val="22"/>
        </w:rPr>
        <w:t>შეინახეთ ორიგინალ შეფუთვაში არაუმეტეს 25</w:t>
      </w:r>
      <w:r w:rsidR="000E78B6" w:rsidRPr="0081615F">
        <w:rPr>
          <w:sz w:val="20"/>
          <w:vertAlign w:val="superscript"/>
        </w:rPr>
        <w:t xml:space="preserve">0 </w:t>
      </w:r>
      <w:r w:rsidR="000E78B6" w:rsidRPr="0081615F">
        <w:rPr>
          <w:sz w:val="22"/>
        </w:rPr>
        <w:t>ტემპერატურაზე</w:t>
      </w:r>
      <w:r w:rsidR="00226628">
        <w:rPr>
          <w:sz w:val="22"/>
        </w:rPr>
        <w:t>,</w:t>
      </w:r>
      <w:r w:rsidR="000E78B6" w:rsidRPr="0081615F">
        <w:rPr>
          <w:sz w:val="22"/>
        </w:rPr>
        <w:t xml:space="preserve"> მშრალ ადგილას, მოარიდეთ სინათლეს. შეინახეთ ბავშვებისაგან მიუწვდომელ ადგილას.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>არ გამოიყენოთ მედიკამენტი ვარგისიანობის ვადის გასვლის შემდეგ, რომელიც მითითებულია ეტიკეტზე. ვადის ამოწურვა გულისხმობს  თვის ბოლო დღეს..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>შეფუთვის შიგთავსი და სხვა ინფორმაცია რას შეიცავს ნურულინ დუო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 xml:space="preserve">თითოეული </w:t>
      </w:r>
      <w:r w:rsidRPr="0081615F">
        <w:rPr>
          <w:sz w:val="22"/>
        </w:rPr>
        <w:tab/>
        <w:t>ტაბლეტის</w:t>
      </w:r>
      <w:r w:rsidRPr="0081615F">
        <w:rPr>
          <w:sz w:val="22"/>
        </w:rPr>
        <w:tab/>
        <w:t>აქტიური/სამედიცინო</w:t>
      </w:r>
      <w:r w:rsidR="00AB11A2" w:rsidRPr="0081615F">
        <w:rPr>
          <w:sz w:val="22"/>
        </w:rPr>
        <w:t xml:space="preserve">  </w:t>
      </w:r>
      <w:r w:rsidRPr="0081615F">
        <w:rPr>
          <w:sz w:val="22"/>
        </w:rPr>
        <w:t xml:space="preserve">ნივთიერება </w:t>
      </w:r>
      <w:r w:rsidRPr="0081615F">
        <w:rPr>
          <w:sz w:val="22"/>
        </w:rPr>
        <w:tab/>
        <w:t>არის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>პარაცეტამოლი 500მგ და იბუპროფენი 200მგ: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 xml:space="preserve">სხვა </w:t>
      </w:r>
      <w:r w:rsidRPr="0081615F">
        <w:rPr>
          <w:sz w:val="22"/>
        </w:rPr>
        <w:tab/>
        <w:t xml:space="preserve">ინგრედიენტები </w:t>
      </w:r>
      <w:r w:rsidRPr="0081615F">
        <w:rPr>
          <w:sz w:val="22"/>
        </w:rPr>
        <w:tab/>
        <w:t xml:space="preserve">(დამხმარე </w:t>
      </w:r>
      <w:r w:rsidRPr="0081615F">
        <w:rPr>
          <w:sz w:val="22"/>
        </w:rPr>
        <w:tab/>
        <w:t>ნივთიერება</w:t>
      </w:r>
      <w:r w:rsidR="00AB11A2" w:rsidRPr="0081615F">
        <w:rPr>
          <w:sz w:val="22"/>
        </w:rPr>
        <w:t xml:space="preserve">) </w:t>
      </w:r>
      <w:r w:rsidRPr="0081615F">
        <w:rPr>
          <w:sz w:val="22"/>
        </w:rPr>
        <w:t xml:space="preserve">არის: </w:t>
      </w:r>
      <w:r w:rsidRPr="0081615F">
        <w:rPr>
          <w:sz w:val="22"/>
        </w:rPr>
        <w:tab/>
        <w:t>კოლოიდური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>სილიციუმის დიოქსიდი, კროსკარმელოზას ნატრიუმი, პრეჟელატინიზებული სახამებელი, სტეარინმჟავა, პოვიდონი K30, სიმინდის სახამებელი,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>მიკროკრისტალური ცელულოზა.</w:t>
      </w:r>
    </w:p>
    <w:p w:rsidR="00DD19B6" w:rsidRPr="0081615F" w:rsidRDefault="000E78B6" w:rsidP="00AB11A2">
      <w:pPr>
        <w:pStyle w:val="NoSpacing"/>
        <w:rPr>
          <w:sz w:val="22"/>
        </w:rPr>
      </w:pPr>
      <w:r w:rsidRPr="0081615F">
        <w:rPr>
          <w:b/>
          <w:sz w:val="22"/>
        </w:rPr>
        <w:t xml:space="preserve">ნურულინ დუოს აღწერა და შეფუთვის ფორმა </w:t>
      </w:r>
      <w:r w:rsidRPr="0081615F">
        <w:rPr>
          <w:sz w:val="22"/>
        </w:rPr>
        <w:t>ნურულინ დუო წარმოადგენს თეთრი მოგრძო ფორმის ტაბლეტებს, სიგრძე 20.0 მმ და სიგანე 8.2 მმ.  პროდუქტი მოცემულია ბლისტერზე 10/20 ტაბლეტი შეფუთვაში ან 12/24 ტაბლეტი შეფუთვაში PVC/ალუმინის ფოლგის ბლისტერზე. მუყაოს კოლოფში მოთავსებულია ერთი ან ორი ბლისტერი ჩანართთან ერთად.</w:t>
      </w:r>
    </w:p>
    <w:p w:rsidR="00F17B23" w:rsidRPr="0081615F" w:rsidRDefault="000E78B6" w:rsidP="00AB11A2">
      <w:pPr>
        <w:pStyle w:val="NoSpacing"/>
        <w:rPr>
          <w:sz w:val="22"/>
        </w:rPr>
      </w:pPr>
      <w:r w:rsidRPr="0081615F">
        <w:rPr>
          <w:sz w:val="22"/>
        </w:rPr>
        <w:t xml:space="preserve"> </w:t>
      </w:r>
      <w:r w:rsidRPr="0081615F">
        <w:rPr>
          <w:b/>
          <w:sz w:val="22"/>
        </w:rPr>
        <w:t>სავაჭრო ნებართვის მფლობელი და მწარმოებელი:</w:t>
      </w:r>
    </w:p>
    <w:p w:rsidR="00F17B23" w:rsidRPr="0081615F" w:rsidRDefault="000E78B6" w:rsidP="00A562A2">
      <w:pPr>
        <w:pStyle w:val="NoSpacing"/>
        <w:rPr>
          <w:sz w:val="22"/>
        </w:rPr>
      </w:pPr>
      <w:r w:rsidRPr="0081615F">
        <w:rPr>
          <w:sz w:val="22"/>
        </w:rPr>
        <w:t>Ramcopharm Ltd.1164 სოფია, ბულგარეთი</w:t>
      </w:r>
    </w:p>
    <w:p w:rsidR="00F17B23" w:rsidRDefault="00F17B23" w:rsidP="00AB11A2">
      <w:pPr>
        <w:pStyle w:val="NoSpacing"/>
      </w:pPr>
    </w:p>
    <w:p w:rsidR="00F17B23" w:rsidRDefault="00F17B23" w:rsidP="00A562A2">
      <w:pPr>
        <w:pStyle w:val="NoSpacing"/>
        <w:ind w:left="0" w:firstLine="0"/>
      </w:pPr>
    </w:p>
    <w:sectPr w:rsidR="00F17B23">
      <w:footerReference w:type="even" r:id="rId7"/>
      <w:footerReference w:type="default" r:id="rId8"/>
      <w:footerReference w:type="first" r:id="rId9"/>
      <w:pgSz w:w="11906" w:h="16838"/>
      <w:pgMar w:top="1199" w:right="849" w:bottom="1168" w:left="1247" w:header="720" w:footer="7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2639" w:rsidRDefault="00ED2639">
      <w:pPr>
        <w:spacing w:after="0" w:line="240" w:lineRule="auto"/>
      </w:pPr>
      <w:r>
        <w:separator/>
      </w:r>
    </w:p>
  </w:endnote>
  <w:endnote w:type="continuationSeparator" w:id="0">
    <w:p w:rsidR="00ED2639" w:rsidRDefault="00ED2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3" w:rsidRDefault="000E78B6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3" w:rsidRDefault="000E78B6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6628" w:rsidRPr="00226628">
      <w:rPr>
        <w:rFonts w:ascii="Times New Roman" w:eastAsia="Times New Roman" w:hAnsi="Times New Roman" w:cs="Times New Roman"/>
        <w:noProof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7B23" w:rsidRDefault="000E78B6">
    <w:pPr>
      <w:spacing w:after="0" w:line="259" w:lineRule="auto"/>
      <w:ind w:left="0" w:right="3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2639" w:rsidRDefault="00ED2639">
      <w:pPr>
        <w:spacing w:after="0" w:line="240" w:lineRule="auto"/>
      </w:pPr>
      <w:r>
        <w:separator/>
      </w:r>
    </w:p>
  </w:footnote>
  <w:footnote w:type="continuationSeparator" w:id="0">
    <w:p w:rsidR="00ED2639" w:rsidRDefault="00ED2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970E3"/>
    <w:multiLevelType w:val="hybridMultilevel"/>
    <w:tmpl w:val="F7EA5524"/>
    <w:lvl w:ilvl="0" w:tplc="A05459AE">
      <w:start w:val="1"/>
      <w:numFmt w:val="bullet"/>
      <w:lvlText w:val="-"/>
      <w:lvlJc w:val="left"/>
      <w:pPr>
        <w:ind w:left="59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A3C7A">
      <w:start w:val="1"/>
      <w:numFmt w:val="decimal"/>
      <w:lvlText w:val="%2.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00D2B2">
      <w:start w:val="1"/>
      <w:numFmt w:val="lowerRoman"/>
      <w:lvlText w:val="%3"/>
      <w:lvlJc w:val="left"/>
      <w:pPr>
        <w:ind w:left="18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CC50CE">
      <w:start w:val="1"/>
      <w:numFmt w:val="decimal"/>
      <w:lvlText w:val="%4"/>
      <w:lvlJc w:val="left"/>
      <w:pPr>
        <w:ind w:left="26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943778">
      <w:start w:val="1"/>
      <w:numFmt w:val="lowerLetter"/>
      <w:lvlText w:val="%5"/>
      <w:lvlJc w:val="left"/>
      <w:pPr>
        <w:ind w:left="333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B07A50">
      <w:start w:val="1"/>
      <w:numFmt w:val="lowerRoman"/>
      <w:lvlText w:val="%6"/>
      <w:lvlJc w:val="left"/>
      <w:pPr>
        <w:ind w:left="405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B4B248">
      <w:start w:val="1"/>
      <w:numFmt w:val="decimal"/>
      <w:lvlText w:val="%7"/>
      <w:lvlJc w:val="left"/>
      <w:pPr>
        <w:ind w:left="47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415C8">
      <w:start w:val="1"/>
      <w:numFmt w:val="lowerLetter"/>
      <w:lvlText w:val="%8"/>
      <w:lvlJc w:val="left"/>
      <w:pPr>
        <w:ind w:left="549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BA8BEE">
      <w:start w:val="1"/>
      <w:numFmt w:val="lowerRoman"/>
      <w:lvlText w:val="%9"/>
      <w:lvlJc w:val="left"/>
      <w:pPr>
        <w:ind w:left="621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7F71C2"/>
    <w:multiLevelType w:val="hybridMultilevel"/>
    <w:tmpl w:val="C018010A"/>
    <w:lvl w:ilvl="0" w:tplc="416E896E">
      <w:start w:val="1"/>
      <w:numFmt w:val="bullet"/>
      <w:lvlText w:val="-"/>
      <w:lvlJc w:val="left"/>
      <w:pPr>
        <w:ind w:left="1175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2A28D2">
      <w:start w:val="1"/>
      <w:numFmt w:val="bullet"/>
      <w:lvlText w:val="o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06CB2E">
      <w:start w:val="1"/>
      <w:numFmt w:val="bullet"/>
      <w:lvlText w:val="▪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023370">
      <w:start w:val="1"/>
      <w:numFmt w:val="bullet"/>
      <w:lvlText w:val="•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406CF6">
      <w:start w:val="1"/>
      <w:numFmt w:val="bullet"/>
      <w:lvlText w:val="o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724924">
      <w:start w:val="1"/>
      <w:numFmt w:val="bullet"/>
      <w:lvlText w:val="▪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302176">
      <w:start w:val="1"/>
      <w:numFmt w:val="bullet"/>
      <w:lvlText w:val="•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DE10D6">
      <w:start w:val="1"/>
      <w:numFmt w:val="bullet"/>
      <w:lvlText w:val="o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68954A">
      <w:start w:val="1"/>
      <w:numFmt w:val="bullet"/>
      <w:lvlText w:val="▪"/>
      <w:lvlJc w:val="left"/>
      <w:pPr>
        <w:ind w:left="64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2C82266"/>
    <w:multiLevelType w:val="hybridMultilevel"/>
    <w:tmpl w:val="9462E114"/>
    <w:lvl w:ilvl="0" w:tplc="400C8FFC">
      <w:start w:val="1"/>
      <w:numFmt w:val="bullet"/>
      <w:lvlText w:val="•"/>
      <w:lvlJc w:val="left"/>
      <w:pPr>
        <w:ind w:left="11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68FE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A0D23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72002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E84F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942D7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1EA6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EA47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5A04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0906D1C"/>
    <w:multiLevelType w:val="hybridMultilevel"/>
    <w:tmpl w:val="2C7E22EA"/>
    <w:lvl w:ilvl="0" w:tplc="E5429AC4">
      <w:start w:val="1"/>
      <w:numFmt w:val="decimal"/>
      <w:lvlText w:val="%1."/>
      <w:lvlJc w:val="left"/>
      <w:pPr>
        <w:ind w:left="45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C453F4">
      <w:start w:val="1"/>
      <w:numFmt w:val="lowerLetter"/>
      <w:lvlText w:val="%2"/>
      <w:lvlJc w:val="left"/>
      <w:pPr>
        <w:ind w:left="13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C723C">
      <w:start w:val="1"/>
      <w:numFmt w:val="lowerRoman"/>
      <w:lvlText w:val="%3"/>
      <w:lvlJc w:val="left"/>
      <w:pPr>
        <w:ind w:left="20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D8C03E">
      <w:start w:val="1"/>
      <w:numFmt w:val="decimal"/>
      <w:lvlText w:val="%4"/>
      <w:lvlJc w:val="left"/>
      <w:pPr>
        <w:ind w:left="27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970A746">
      <w:start w:val="1"/>
      <w:numFmt w:val="lowerLetter"/>
      <w:lvlText w:val="%5"/>
      <w:lvlJc w:val="left"/>
      <w:pPr>
        <w:ind w:left="346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605548">
      <w:start w:val="1"/>
      <w:numFmt w:val="lowerRoman"/>
      <w:lvlText w:val="%6"/>
      <w:lvlJc w:val="left"/>
      <w:pPr>
        <w:ind w:left="418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D6F1B8">
      <w:start w:val="1"/>
      <w:numFmt w:val="decimal"/>
      <w:lvlText w:val="%7"/>
      <w:lvlJc w:val="left"/>
      <w:pPr>
        <w:ind w:left="490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9683F8">
      <w:start w:val="1"/>
      <w:numFmt w:val="lowerLetter"/>
      <w:lvlText w:val="%8"/>
      <w:lvlJc w:val="left"/>
      <w:pPr>
        <w:ind w:left="562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D44DD2">
      <w:start w:val="1"/>
      <w:numFmt w:val="lowerRoman"/>
      <w:lvlText w:val="%9"/>
      <w:lvlJc w:val="left"/>
      <w:pPr>
        <w:ind w:left="6348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A53B1A"/>
    <w:multiLevelType w:val="hybridMultilevel"/>
    <w:tmpl w:val="18387A58"/>
    <w:lvl w:ilvl="0" w:tplc="1BC4A484">
      <w:start w:val="1"/>
      <w:numFmt w:val="bullet"/>
      <w:lvlText w:val="-"/>
      <w:lvlJc w:val="left"/>
      <w:pPr>
        <w:ind w:left="764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286648">
      <w:start w:val="1"/>
      <w:numFmt w:val="bullet"/>
      <w:lvlText w:val="o"/>
      <w:lvlJc w:val="left"/>
      <w:pPr>
        <w:ind w:left="10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86F8CC">
      <w:start w:val="1"/>
      <w:numFmt w:val="bullet"/>
      <w:lvlText w:val="▪"/>
      <w:lvlJc w:val="left"/>
      <w:pPr>
        <w:ind w:left="18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987DC6">
      <w:start w:val="1"/>
      <w:numFmt w:val="bullet"/>
      <w:lvlText w:val="•"/>
      <w:lvlJc w:val="left"/>
      <w:pPr>
        <w:ind w:left="25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72D4C2">
      <w:start w:val="1"/>
      <w:numFmt w:val="bullet"/>
      <w:lvlText w:val="o"/>
      <w:lvlJc w:val="left"/>
      <w:pPr>
        <w:ind w:left="324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4E715C">
      <w:start w:val="1"/>
      <w:numFmt w:val="bullet"/>
      <w:lvlText w:val="▪"/>
      <w:lvlJc w:val="left"/>
      <w:pPr>
        <w:ind w:left="396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B6E5A2">
      <w:start w:val="1"/>
      <w:numFmt w:val="bullet"/>
      <w:lvlText w:val="•"/>
      <w:lvlJc w:val="left"/>
      <w:pPr>
        <w:ind w:left="468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241C44">
      <w:start w:val="1"/>
      <w:numFmt w:val="bullet"/>
      <w:lvlText w:val="o"/>
      <w:lvlJc w:val="left"/>
      <w:pPr>
        <w:ind w:left="540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464262">
      <w:start w:val="1"/>
      <w:numFmt w:val="bullet"/>
      <w:lvlText w:val="▪"/>
      <w:lvlJc w:val="left"/>
      <w:pPr>
        <w:ind w:left="612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9F84049"/>
    <w:multiLevelType w:val="hybridMultilevel"/>
    <w:tmpl w:val="EA5A27B0"/>
    <w:lvl w:ilvl="0" w:tplc="0A1652BE">
      <w:start w:val="1"/>
      <w:numFmt w:val="bullet"/>
      <w:lvlText w:val="•"/>
      <w:lvlJc w:val="left"/>
      <w:pPr>
        <w:ind w:left="12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08F7D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D011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7C474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8A4B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02BDB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02E3A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EEFA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1A8BF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673812EB"/>
    <w:multiLevelType w:val="hybridMultilevel"/>
    <w:tmpl w:val="D6C28A1A"/>
    <w:lvl w:ilvl="0" w:tplc="72B648E0">
      <w:start w:val="1"/>
      <w:numFmt w:val="bullet"/>
      <w:lvlText w:val="-"/>
      <w:lvlJc w:val="left"/>
      <w:pPr>
        <w:ind w:left="721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7A6D38">
      <w:start w:val="1"/>
      <w:numFmt w:val="bullet"/>
      <w:lvlText w:val="o"/>
      <w:lvlJc w:val="left"/>
      <w:pPr>
        <w:ind w:left="10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4EEC82">
      <w:start w:val="1"/>
      <w:numFmt w:val="bullet"/>
      <w:lvlText w:val="▪"/>
      <w:lvlJc w:val="left"/>
      <w:pPr>
        <w:ind w:left="18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666614">
      <w:start w:val="1"/>
      <w:numFmt w:val="bullet"/>
      <w:lvlText w:val="•"/>
      <w:lvlJc w:val="left"/>
      <w:pPr>
        <w:ind w:left="25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DEABF6">
      <w:start w:val="1"/>
      <w:numFmt w:val="bullet"/>
      <w:lvlText w:val="o"/>
      <w:lvlJc w:val="left"/>
      <w:pPr>
        <w:ind w:left="325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920DE34">
      <w:start w:val="1"/>
      <w:numFmt w:val="bullet"/>
      <w:lvlText w:val="▪"/>
      <w:lvlJc w:val="left"/>
      <w:pPr>
        <w:ind w:left="397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562508">
      <w:start w:val="1"/>
      <w:numFmt w:val="bullet"/>
      <w:lvlText w:val="•"/>
      <w:lvlJc w:val="left"/>
      <w:pPr>
        <w:ind w:left="469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4CD4A">
      <w:start w:val="1"/>
      <w:numFmt w:val="bullet"/>
      <w:lvlText w:val="o"/>
      <w:lvlJc w:val="left"/>
      <w:pPr>
        <w:ind w:left="541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04DA54">
      <w:start w:val="1"/>
      <w:numFmt w:val="bullet"/>
      <w:lvlText w:val="▪"/>
      <w:lvlJc w:val="left"/>
      <w:pPr>
        <w:ind w:left="613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DCA7FD6"/>
    <w:multiLevelType w:val="hybridMultilevel"/>
    <w:tmpl w:val="21261F58"/>
    <w:lvl w:ilvl="0" w:tplc="ED82473E">
      <w:start w:val="5"/>
      <w:numFmt w:val="decimal"/>
      <w:lvlText w:val="%1."/>
      <w:lvlJc w:val="left"/>
      <w:pPr>
        <w:ind w:left="450"/>
      </w:pPr>
      <w:rPr>
        <w:rFonts w:ascii="Sylfaen" w:eastAsia="Sylfaen" w:hAnsi="Sylfaen" w:cs="Sylfae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00CC38">
      <w:start w:val="1"/>
      <w:numFmt w:val="bullet"/>
      <w:lvlText w:val="-"/>
      <w:lvlJc w:val="left"/>
      <w:pPr>
        <w:ind w:left="1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A80444">
      <w:start w:val="1"/>
      <w:numFmt w:val="bullet"/>
      <w:lvlText w:val="▪"/>
      <w:lvlJc w:val="left"/>
      <w:pPr>
        <w:ind w:left="14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C895E">
      <w:start w:val="1"/>
      <w:numFmt w:val="bullet"/>
      <w:lvlText w:val="•"/>
      <w:lvlJc w:val="left"/>
      <w:pPr>
        <w:ind w:left="21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882C2A">
      <w:start w:val="1"/>
      <w:numFmt w:val="bullet"/>
      <w:lvlText w:val="o"/>
      <w:lvlJc w:val="left"/>
      <w:pPr>
        <w:ind w:left="28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7974">
      <w:start w:val="1"/>
      <w:numFmt w:val="bullet"/>
      <w:lvlText w:val="▪"/>
      <w:lvlJc w:val="left"/>
      <w:pPr>
        <w:ind w:left="36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9C935C">
      <w:start w:val="1"/>
      <w:numFmt w:val="bullet"/>
      <w:lvlText w:val="•"/>
      <w:lvlJc w:val="left"/>
      <w:pPr>
        <w:ind w:left="43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D66176">
      <w:start w:val="1"/>
      <w:numFmt w:val="bullet"/>
      <w:lvlText w:val="o"/>
      <w:lvlJc w:val="left"/>
      <w:pPr>
        <w:ind w:left="50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EE4346">
      <w:start w:val="1"/>
      <w:numFmt w:val="bullet"/>
      <w:lvlText w:val="▪"/>
      <w:lvlJc w:val="left"/>
      <w:pPr>
        <w:ind w:left="57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B23"/>
    <w:rsid w:val="000E78B6"/>
    <w:rsid w:val="00226628"/>
    <w:rsid w:val="00492CDD"/>
    <w:rsid w:val="00511F89"/>
    <w:rsid w:val="0081615F"/>
    <w:rsid w:val="00A562A2"/>
    <w:rsid w:val="00AA4AC6"/>
    <w:rsid w:val="00AB11A2"/>
    <w:rsid w:val="00AE04AD"/>
    <w:rsid w:val="00DD19B6"/>
    <w:rsid w:val="00E20FF5"/>
    <w:rsid w:val="00E93735"/>
    <w:rsid w:val="00ED2639"/>
    <w:rsid w:val="00F1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69271D-52B7-47F2-9465-58EE1E15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42" w:line="265" w:lineRule="auto"/>
      <w:ind w:left="465" w:hanging="10"/>
      <w:jc w:val="both"/>
    </w:pPr>
    <w:rPr>
      <w:rFonts w:ascii="Sylfaen" w:eastAsia="Sylfaen" w:hAnsi="Sylfaen" w:cs="Sylfae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FF5"/>
    <w:pPr>
      <w:spacing w:after="0" w:line="240" w:lineRule="auto"/>
      <w:ind w:left="465" w:hanging="10"/>
      <w:jc w:val="both"/>
    </w:pPr>
    <w:rPr>
      <w:rFonts w:ascii="Sylfaen" w:eastAsia="Sylfaen" w:hAnsi="Sylfaen" w:cs="Sylfae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Tkemaladze</dc:creator>
  <cp:keywords/>
  <cp:lastModifiedBy>Tkemaladze</cp:lastModifiedBy>
  <cp:revision>8</cp:revision>
  <dcterms:created xsi:type="dcterms:W3CDTF">2017-11-29T20:32:00Z</dcterms:created>
  <dcterms:modified xsi:type="dcterms:W3CDTF">2019-10-15T11:32:00Z</dcterms:modified>
</cp:coreProperties>
</file>